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EDE8D" w14:textId="77777777" w:rsidR="001764F2" w:rsidRPr="00106AAA" w:rsidRDefault="001764F2" w:rsidP="001F67EB">
      <w:pPr>
        <w:jc w:val="both"/>
        <w:rPr>
          <w:b/>
          <w:sz w:val="24"/>
        </w:rPr>
      </w:pPr>
      <w:bookmarkStart w:id="0" w:name="_GoBack"/>
      <w:bookmarkEnd w:id="0"/>
      <w:r w:rsidRPr="00106AAA">
        <w:rPr>
          <w:b/>
          <w:sz w:val="24"/>
        </w:rPr>
        <w:t>Authentication of Key Biological and/or Chemical Resources</w:t>
      </w:r>
    </w:p>
    <w:p w14:paraId="470CB85D" w14:textId="77777777" w:rsidR="00091F2C" w:rsidRPr="00106AAA" w:rsidRDefault="00091F2C" w:rsidP="001F67EB">
      <w:pPr>
        <w:jc w:val="both"/>
      </w:pPr>
    </w:p>
    <w:p w14:paraId="4E09AC6A" w14:textId="2509EB7A" w:rsidR="001764F2" w:rsidRPr="00106AAA" w:rsidRDefault="001764F2" w:rsidP="001F67EB">
      <w:pPr>
        <w:jc w:val="both"/>
        <w:rPr>
          <w:i/>
          <w:color w:val="4F81BD" w:themeColor="accent1"/>
        </w:rPr>
      </w:pPr>
      <w:r w:rsidRPr="00106AAA">
        <w:rPr>
          <w:i/>
          <w:color w:val="4F81BD" w:themeColor="accent1"/>
        </w:rPr>
        <w:t>[Note:  This document is not meant to be a “copy-and-paste” resource.  Rather, it is</w:t>
      </w:r>
      <w:r w:rsidR="0064029B" w:rsidRPr="00106AAA">
        <w:rPr>
          <w:i/>
          <w:color w:val="4F81BD" w:themeColor="accent1"/>
        </w:rPr>
        <w:t xml:space="preserve"> meant to be</w:t>
      </w:r>
      <w:r w:rsidRPr="00106AAA">
        <w:rPr>
          <w:i/>
          <w:color w:val="4F81BD" w:themeColor="accent1"/>
        </w:rPr>
        <w:t xml:space="preserve"> a guideline for the types of biological and chemical resources</w:t>
      </w:r>
      <w:r w:rsidR="002D4D0A">
        <w:rPr>
          <w:i/>
          <w:color w:val="4F81BD" w:themeColor="accent1"/>
        </w:rPr>
        <w:t xml:space="preserve"> that might require validation</w:t>
      </w:r>
      <w:r w:rsidR="007511E2">
        <w:rPr>
          <w:i/>
          <w:color w:val="4F81BD" w:themeColor="accent1"/>
        </w:rPr>
        <w:t xml:space="preserve"> as required by new requirements for NIH grant applications</w:t>
      </w:r>
      <w:r w:rsidRPr="00106AAA">
        <w:rPr>
          <w:i/>
          <w:color w:val="4F81BD" w:themeColor="accent1"/>
        </w:rPr>
        <w:t>.</w:t>
      </w:r>
      <w:r w:rsidR="002D4D0A">
        <w:rPr>
          <w:i/>
          <w:color w:val="4F81BD" w:themeColor="accent1"/>
        </w:rPr>
        <w:t xml:space="preserve"> </w:t>
      </w:r>
      <w:r w:rsidR="002D4D0A" w:rsidRPr="001764F2">
        <w:rPr>
          <w:i/>
          <w:color w:val="4F81BD" w:themeColor="accent1"/>
        </w:rPr>
        <w:t xml:space="preserve">This document also includes a list </w:t>
      </w:r>
      <w:r w:rsidR="002D4D0A">
        <w:rPr>
          <w:i/>
          <w:color w:val="4F81BD" w:themeColor="accent1"/>
        </w:rPr>
        <w:t>of</w:t>
      </w:r>
      <w:r w:rsidR="002D4D0A" w:rsidRPr="001764F2">
        <w:rPr>
          <w:i/>
          <w:color w:val="4F81BD" w:themeColor="accent1"/>
        </w:rPr>
        <w:t xml:space="preserve"> validation tests</w:t>
      </w:r>
      <w:r w:rsidR="002D4D0A">
        <w:rPr>
          <w:i/>
          <w:color w:val="4F81BD" w:themeColor="accent1"/>
        </w:rPr>
        <w:t xml:space="preserve"> to consider for each resource. </w:t>
      </w:r>
      <w:r w:rsidRPr="00106AAA">
        <w:rPr>
          <w:i/>
          <w:color w:val="4F81BD" w:themeColor="accent1"/>
        </w:rPr>
        <w:t xml:space="preserve">Obviously, it is the responsibility of each </w:t>
      </w:r>
      <w:r w:rsidR="002D4D0A">
        <w:rPr>
          <w:i/>
          <w:color w:val="4F81BD" w:themeColor="accent1"/>
        </w:rPr>
        <w:t>Principal Investigator</w:t>
      </w:r>
      <w:r w:rsidRPr="00106AAA">
        <w:rPr>
          <w:i/>
          <w:color w:val="4F81BD" w:themeColor="accent1"/>
        </w:rPr>
        <w:t xml:space="preserve"> to accurately and honestly describe </w:t>
      </w:r>
      <w:r w:rsidR="002D4D0A">
        <w:rPr>
          <w:i/>
          <w:color w:val="4F81BD" w:themeColor="accent1"/>
        </w:rPr>
        <w:t>specific</w:t>
      </w:r>
      <w:r w:rsidRPr="00106AAA">
        <w:rPr>
          <w:i/>
          <w:color w:val="4F81BD" w:themeColor="accent1"/>
        </w:rPr>
        <w:t xml:space="preserve"> validation plans that will be carried out for </w:t>
      </w:r>
      <w:r w:rsidR="002D4D0A">
        <w:rPr>
          <w:i/>
          <w:color w:val="4F81BD" w:themeColor="accent1"/>
        </w:rPr>
        <w:t>each</w:t>
      </w:r>
      <w:r w:rsidRPr="00106AAA">
        <w:rPr>
          <w:i/>
          <w:color w:val="4F81BD" w:themeColor="accent1"/>
        </w:rPr>
        <w:t xml:space="preserve"> project within the capabilities of </w:t>
      </w:r>
      <w:r w:rsidR="002D4D0A">
        <w:rPr>
          <w:i/>
          <w:color w:val="4F81BD" w:themeColor="accent1"/>
        </w:rPr>
        <w:t>the PI’s</w:t>
      </w:r>
      <w:r w:rsidRPr="00106AAA">
        <w:rPr>
          <w:i/>
          <w:color w:val="4F81BD" w:themeColor="accent1"/>
        </w:rPr>
        <w:t xml:space="preserve"> laboratory.  Since each project is different, each authentication plan </w:t>
      </w:r>
      <w:r w:rsidR="0064029B" w:rsidRPr="00106AAA">
        <w:rPr>
          <w:i/>
          <w:color w:val="4F81BD" w:themeColor="accent1"/>
        </w:rPr>
        <w:t>will</w:t>
      </w:r>
      <w:r w:rsidR="00B91B41">
        <w:rPr>
          <w:i/>
          <w:color w:val="4F81BD" w:themeColor="accent1"/>
        </w:rPr>
        <w:t xml:space="preserve"> be different.]</w:t>
      </w:r>
    </w:p>
    <w:p w14:paraId="6428362C" w14:textId="77777777" w:rsidR="001764F2" w:rsidRPr="00106AAA" w:rsidRDefault="001764F2" w:rsidP="001F67EB">
      <w:pPr>
        <w:jc w:val="both"/>
      </w:pPr>
    </w:p>
    <w:p w14:paraId="75B323C0" w14:textId="77777777" w:rsidR="001764F2" w:rsidRPr="00106AAA" w:rsidRDefault="001764F2" w:rsidP="00A17244">
      <w:pPr>
        <w:pBdr>
          <w:bottom w:val="single" w:sz="4" w:space="1" w:color="auto"/>
        </w:pBdr>
        <w:jc w:val="both"/>
        <w:rPr>
          <w:b/>
          <w:sz w:val="24"/>
        </w:rPr>
      </w:pPr>
      <w:r w:rsidRPr="00106AAA">
        <w:rPr>
          <w:b/>
          <w:sz w:val="24"/>
        </w:rPr>
        <w:t xml:space="preserve">Overview:  </w:t>
      </w:r>
    </w:p>
    <w:p w14:paraId="746F80EC" w14:textId="47ECF6FC" w:rsidR="001764F2" w:rsidRPr="00106AAA" w:rsidRDefault="001764F2" w:rsidP="00F3439C">
      <w:pPr>
        <w:spacing w:before="120"/>
        <w:ind w:left="270" w:hanging="270"/>
        <w:jc w:val="both"/>
      </w:pPr>
      <w:r w:rsidRPr="00106AAA">
        <w:t xml:space="preserve">•  Briefly summarize the </w:t>
      </w:r>
      <w:r w:rsidRPr="00106AAA">
        <w:rPr>
          <w:b/>
        </w:rPr>
        <w:t>Key Resources</w:t>
      </w:r>
      <w:r w:rsidRPr="00106AAA">
        <w:t xml:space="preserve"> for the project</w:t>
      </w:r>
      <w:r w:rsidR="0064029B" w:rsidRPr="00106AAA">
        <w:t xml:space="preserve">.  Since there is a </w:t>
      </w:r>
      <w:r w:rsidR="0064029B" w:rsidRPr="00106AAA">
        <w:rPr>
          <w:b/>
        </w:rPr>
        <w:t>one-page limit</w:t>
      </w:r>
      <w:r w:rsidR="0064029B" w:rsidRPr="00106AAA">
        <w:t>, it is important to focus on the resources that matter most for the project.</w:t>
      </w:r>
    </w:p>
    <w:p w14:paraId="74B1C775" w14:textId="35E8CC80" w:rsidR="001764F2" w:rsidRPr="00106AAA" w:rsidRDefault="001764F2" w:rsidP="00F3439C">
      <w:pPr>
        <w:ind w:left="270" w:hanging="270"/>
        <w:jc w:val="both"/>
      </w:pPr>
      <w:r w:rsidRPr="00106AAA">
        <w:t xml:space="preserve">•  Some grantees </w:t>
      </w:r>
      <w:r w:rsidR="00B91B41">
        <w:t>briefly summarize</w:t>
      </w:r>
      <w:r w:rsidRPr="00106AAA">
        <w:t xml:space="preserve"> basic best practices in their laboratory, although this is not requested in PHS 398 guidelines (e.g. data storage, </w:t>
      </w:r>
      <w:r w:rsidR="00B91B41">
        <w:t>basic</w:t>
      </w:r>
      <w:r w:rsidR="0064029B" w:rsidRPr="00106AAA">
        <w:t xml:space="preserve"> experimental design and </w:t>
      </w:r>
      <w:r w:rsidRPr="00106AAA">
        <w:t>statist</w:t>
      </w:r>
      <w:r w:rsidR="0064029B" w:rsidRPr="00106AAA">
        <w:t>ical tests</w:t>
      </w:r>
      <w:r w:rsidRPr="00106AAA">
        <w:t xml:space="preserve">, </w:t>
      </w:r>
      <w:r w:rsidR="0064029B" w:rsidRPr="00106AAA">
        <w:t xml:space="preserve">online </w:t>
      </w:r>
      <w:r w:rsidRPr="00106AAA">
        <w:t xml:space="preserve">educational modules). </w:t>
      </w:r>
    </w:p>
    <w:p w14:paraId="633DB8BB" w14:textId="77777777" w:rsidR="001764F2" w:rsidRPr="00106AAA" w:rsidRDefault="001764F2" w:rsidP="001F67EB">
      <w:pPr>
        <w:jc w:val="both"/>
      </w:pPr>
    </w:p>
    <w:p w14:paraId="51E4C70F" w14:textId="7B376B9F" w:rsidR="001764F2" w:rsidRPr="00106AAA" w:rsidRDefault="00316236" w:rsidP="00A17244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180" w:hanging="180"/>
        <w:jc w:val="both"/>
        <w:rPr>
          <w:b/>
          <w:sz w:val="24"/>
        </w:rPr>
      </w:pPr>
      <w:r>
        <w:rPr>
          <w:b/>
          <w:sz w:val="24"/>
        </w:rPr>
        <w:t xml:space="preserve">  </w:t>
      </w:r>
      <w:r w:rsidR="001764F2" w:rsidRPr="00106AAA">
        <w:rPr>
          <w:b/>
          <w:sz w:val="24"/>
        </w:rPr>
        <w:t>Cell Lines</w:t>
      </w:r>
    </w:p>
    <w:p w14:paraId="50B55E38" w14:textId="1B15FC30" w:rsidR="001764F2" w:rsidRPr="00106AAA" w:rsidRDefault="00A17244" w:rsidP="00B91B41">
      <w:pPr>
        <w:spacing w:before="120"/>
        <w:jc w:val="both"/>
      </w:pPr>
      <w:r w:rsidRPr="00106AAA">
        <w:t xml:space="preserve">• </w:t>
      </w:r>
      <w:r w:rsidR="001764F2" w:rsidRPr="00106AAA">
        <w:t xml:space="preserve">name </w:t>
      </w:r>
      <w:r w:rsidR="001764F2" w:rsidRPr="00106AAA">
        <w:rPr>
          <w:u w:val="single"/>
        </w:rPr>
        <w:t>source</w:t>
      </w:r>
      <w:r w:rsidR="001764F2" w:rsidRPr="00106AAA">
        <w:t xml:space="preserve"> of cell lines (e.g. ATCC</w:t>
      </w:r>
      <w:r w:rsidR="007511E2">
        <w:t>, in-house</w:t>
      </w:r>
      <w:r w:rsidR="001764F2" w:rsidRPr="00106AAA">
        <w:t xml:space="preserve">), </w:t>
      </w:r>
      <w:r w:rsidR="007511E2">
        <w:t xml:space="preserve">and </w:t>
      </w:r>
      <w:r w:rsidR="001764F2" w:rsidRPr="00106AAA">
        <w:t xml:space="preserve">whether </w:t>
      </w:r>
      <w:r w:rsidR="007511E2">
        <w:t xml:space="preserve">vendor </w:t>
      </w:r>
      <w:r w:rsidR="001764F2" w:rsidRPr="00106AAA">
        <w:t>source</w:t>
      </w:r>
      <w:r w:rsidR="007511E2">
        <w:t>s provide</w:t>
      </w:r>
      <w:r w:rsidR="001764F2" w:rsidRPr="00106AAA">
        <w:t xml:space="preserve"> a certificate of analysis</w:t>
      </w:r>
    </w:p>
    <w:p w14:paraId="76453B14" w14:textId="42D331E8" w:rsidR="00A17244" w:rsidRPr="00106AAA" w:rsidRDefault="00A17244" w:rsidP="00A17244">
      <w:pPr>
        <w:ind w:left="180" w:hanging="180"/>
        <w:jc w:val="both"/>
      </w:pPr>
      <w:r w:rsidRPr="00106AAA">
        <w:t xml:space="preserve">• </w:t>
      </w:r>
      <w:r w:rsidR="001764F2" w:rsidRPr="00106AAA">
        <w:t xml:space="preserve">name </w:t>
      </w:r>
      <w:r w:rsidR="001764F2" w:rsidRPr="00106AAA">
        <w:rPr>
          <w:u w:val="single"/>
        </w:rPr>
        <w:t>method</w:t>
      </w:r>
      <w:r w:rsidR="001764F2" w:rsidRPr="00106AAA">
        <w:t xml:space="preserve"> for Authentication.  </w:t>
      </w:r>
    </w:p>
    <w:p w14:paraId="58EC6707" w14:textId="499807A0" w:rsidR="001764F2" w:rsidRPr="00106AAA" w:rsidRDefault="00A17244" w:rsidP="00316236">
      <w:pPr>
        <w:ind w:left="360"/>
        <w:jc w:val="both"/>
        <w:rPr>
          <w:i/>
          <w:color w:val="4F81BD" w:themeColor="accent1"/>
        </w:rPr>
      </w:pPr>
      <w:r w:rsidRPr="00106AAA">
        <w:rPr>
          <w:i/>
          <w:color w:val="4F81BD" w:themeColor="accent1"/>
        </w:rPr>
        <w:t xml:space="preserve">[Note: </w:t>
      </w:r>
      <w:r w:rsidR="00B91B41" w:rsidRPr="00B91B41">
        <w:rPr>
          <w:i/>
          <w:color w:val="4F81BD" w:themeColor="accent1"/>
        </w:rPr>
        <w:t>Most common</w:t>
      </w:r>
      <w:r w:rsidR="00B91B41">
        <w:rPr>
          <w:i/>
          <w:color w:val="4F81BD" w:themeColor="accent1"/>
        </w:rPr>
        <w:t xml:space="preserve"> authentication</w:t>
      </w:r>
      <w:r w:rsidR="00B91B41" w:rsidRPr="00B91B41">
        <w:rPr>
          <w:i/>
          <w:color w:val="4F81BD" w:themeColor="accent1"/>
        </w:rPr>
        <w:t xml:space="preserve"> is “Short Tand</w:t>
      </w:r>
      <w:r w:rsidR="00B91B41">
        <w:rPr>
          <w:i/>
          <w:color w:val="4F81BD" w:themeColor="accent1"/>
        </w:rPr>
        <w:t>em Repeat profiling”</w:t>
      </w:r>
      <w:r w:rsidR="00B91B41" w:rsidRPr="00B91B41">
        <w:rPr>
          <w:i/>
          <w:color w:val="4F81BD" w:themeColor="accent1"/>
        </w:rPr>
        <w:t>.</w:t>
      </w:r>
      <w:r w:rsidR="00B91B41">
        <w:rPr>
          <w:i/>
          <w:color w:val="4F81BD" w:themeColor="accent1"/>
        </w:rPr>
        <w:t xml:space="preserve"> </w:t>
      </w:r>
      <w:r w:rsidR="001764F2" w:rsidRPr="00106AAA">
        <w:rPr>
          <w:i/>
          <w:color w:val="4F81BD" w:themeColor="accent1"/>
        </w:rPr>
        <w:t>Multip</w:t>
      </w:r>
      <w:r w:rsidR="00B91B41">
        <w:rPr>
          <w:i/>
          <w:color w:val="4F81BD" w:themeColor="accent1"/>
        </w:rPr>
        <w:t>le vendors offer this service. T</w:t>
      </w:r>
      <w:r w:rsidR="00021C23" w:rsidRPr="00106AAA">
        <w:rPr>
          <w:i/>
          <w:color w:val="4F81BD" w:themeColor="accent1"/>
        </w:rPr>
        <w:t>here are</w:t>
      </w:r>
      <w:r w:rsidRPr="00106AAA">
        <w:rPr>
          <w:i/>
          <w:color w:val="4F81BD" w:themeColor="accent1"/>
        </w:rPr>
        <w:t xml:space="preserve"> </w:t>
      </w:r>
      <w:r w:rsidR="001764F2" w:rsidRPr="00106AAA">
        <w:rPr>
          <w:i/>
          <w:color w:val="4F81BD" w:themeColor="accent1"/>
        </w:rPr>
        <w:t xml:space="preserve">protocols to perform </w:t>
      </w:r>
      <w:r w:rsidR="00B91B41">
        <w:rPr>
          <w:i/>
          <w:color w:val="4F81BD" w:themeColor="accent1"/>
        </w:rPr>
        <w:t>STR profiling in-house, but s</w:t>
      </w:r>
      <w:r w:rsidR="00B91B41" w:rsidRPr="00106AAA">
        <w:rPr>
          <w:i/>
          <w:color w:val="4F81BD" w:themeColor="accent1"/>
        </w:rPr>
        <w:t>ee “Notes and Additional resources”</w:t>
      </w:r>
      <w:r w:rsidR="00B91B41">
        <w:rPr>
          <w:i/>
          <w:color w:val="4F81BD" w:themeColor="accent1"/>
        </w:rPr>
        <w:t xml:space="preserve"> for a partial list of vendors that offer this service.]</w:t>
      </w:r>
      <w:r w:rsidR="001764F2" w:rsidRPr="00106AAA">
        <w:rPr>
          <w:i/>
          <w:color w:val="4F81BD" w:themeColor="accent1"/>
        </w:rPr>
        <w:t xml:space="preserve"> </w:t>
      </w:r>
    </w:p>
    <w:p w14:paraId="00396BD6" w14:textId="39BA4CD0" w:rsidR="001764F2" w:rsidRPr="00106AAA" w:rsidRDefault="00A17244" w:rsidP="00A17244">
      <w:pPr>
        <w:ind w:left="180" w:hanging="180"/>
        <w:jc w:val="both"/>
      </w:pPr>
      <w:r w:rsidRPr="00106AAA">
        <w:t xml:space="preserve">• </w:t>
      </w:r>
      <w:r w:rsidR="0064029B" w:rsidRPr="00106AAA">
        <w:t>s</w:t>
      </w:r>
      <w:r w:rsidR="001764F2" w:rsidRPr="00106AAA">
        <w:t xml:space="preserve">tate </w:t>
      </w:r>
      <w:r w:rsidR="001764F2" w:rsidRPr="00106AAA">
        <w:rPr>
          <w:u w:val="single"/>
        </w:rPr>
        <w:t>frequency</w:t>
      </w:r>
      <w:r w:rsidR="001764F2" w:rsidRPr="00106AAA">
        <w:t xml:space="preserve"> of testing (e.g. once a year, every X </w:t>
      </w:r>
      <w:proofErr w:type="gramStart"/>
      <w:r w:rsidR="001764F2" w:rsidRPr="00106AAA">
        <w:t>months</w:t>
      </w:r>
      <w:proofErr w:type="gramEnd"/>
      <w:r w:rsidR="001764F2" w:rsidRPr="00106AAA">
        <w:t>, every Z passages)</w:t>
      </w:r>
    </w:p>
    <w:p w14:paraId="35EAA09F" w14:textId="15423232" w:rsidR="001764F2" w:rsidRPr="00106AAA" w:rsidRDefault="00A17244" w:rsidP="00A17244">
      <w:pPr>
        <w:ind w:left="180" w:hanging="180"/>
        <w:jc w:val="both"/>
      </w:pPr>
      <w:r w:rsidRPr="00106AAA">
        <w:t xml:space="preserve">• </w:t>
      </w:r>
      <w:r w:rsidR="0064029B" w:rsidRPr="00106AAA">
        <w:t>c</w:t>
      </w:r>
      <w:r w:rsidR="001764F2" w:rsidRPr="00106AAA">
        <w:t xml:space="preserve">ell lines with </w:t>
      </w:r>
      <w:r w:rsidR="001764F2" w:rsidRPr="00106AAA">
        <w:rPr>
          <w:u w:val="single"/>
        </w:rPr>
        <w:t>key mutations</w:t>
      </w:r>
      <w:r w:rsidR="001764F2" w:rsidRPr="00106AAA">
        <w:t xml:space="preserve">:  </w:t>
      </w:r>
      <w:r w:rsidR="0064029B" w:rsidRPr="00106AAA">
        <w:t xml:space="preserve">describe </w:t>
      </w:r>
      <w:r w:rsidR="001764F2" w:rsidRPr="00106AAA">
        <w:t>a test to confirm mutational status of key markers/factors</w:t>
      </w:r>
    </w:p>
    <w:p w14:paraId="0D7413D8" w14:textId="4F3FAD44" w:rsidR="00021C23" w:rsidRPr="00106AAA" w:rsidRDefault="00A17244" w:rsidP="00A17244">
      <w:pPr>
        <w:ind w:left="180" w:hanging="180"/>
        <w:jc w:val="both"/>
      </w:pPr>
      <w:r w:rsidRPr="00106AAA">
        <w:t xml:space="preserve">• </w:t>
      </w:r>
      <w:r w:rsidR="001764F2" w:rsidRPr="00106AAA">
        <w:t xml:space="preserve">some grantees state how many weeks or </w:t>
      </w:r>
      <w:r w:rsidR="005C1EF7" w:rsidRPr="00106AAA">
        <w:t xml:space="preserve">how many </w:t>
      </w:r>
      <w:r w:rsidR="001764F2" w:rsidRPr="00106AAA">
        <w:t>passages will be used before discarding</w:t>
      </w:r>
      <w:r w:rsidR="005C1EF7" w:rsidRPr="00106AAA">
        <w:t xml:space="preserve"> the culture </w:t>
      </w:r>
      <w:r w:rsidR="001764F2" w:rsidRPr="00106AAA">
        <w:t>and thawing a new vial</w:t>
      </w:r>
      <w:r w:rsidR="005C1EF7" w:rsidRPr="00106AAA">
        <w:t xml:space="preserve"> (minimize genetic drift).</w:t>
      </w:r>
    </w:p>
    <w:p w14:paraId="319F159D" w14:textId="33370913" w:rsidR="00021C23" w:rsidRPr="00106AAA" w:rsidRDefault="00A17244" w:rsidP="00A17244">
      <w:pPr>
        <w:ind w:left="180" w:hanging="180"/>
        <w:jc w:val="both"/>
      </w:pPr>
      <w:r w:rsidRPr="00106AAA">
        <w:t xml:space="preserve">• </w:t>
      </w:r>
      <w:r w:rsidR="00021C23" w:rsidRPr="00106AAA">
        <w:t>Mycoplasma testing:  most po</w:t>
      </w:r>
      <w:r w:rsidR="00316236">
        <w:t>sitively reviewed plans include</w:t>
      </w:r>
      <w:r w:rsidR="00021C23" w:rsidRPr="00106AAA">
        <w:t xml:space="preserve"> a statement about mycoplasma.  Multiple kits and services are available for testing.  State the </w:t>
      </w:r>
      <w:r w:rsidR="00021C23" w:rsidRPr="00106AAA">
        <w:rPr>
          <w:u w:val="single"/>
        </w:rPr>
        <w:t>specific test</w:t>
      </w:r>
      <w:r w:rsidR="00021C23" w:rsidRPr="00106AAA">
        <w:t xml:space="preserve"> and the </w:t>
      </w:r>
      <w:r w:rsidR="00021C23" w:rsidRPr="00106AAA">
        <w:rPr>
          <w:u w:val="single"/>
        </w:rPr>
        <w:t>frequency</w:t>
      </w:r>
      <w:r w:rsidR="00021C23" w:rsidRPr="00106AAA">
        <w:t xml:space="preserve"> of the test.  See </w:t>
      </w:r>
      <w:r w:rsidR="00021C23" w:rsidRPr="00106AAA">
        <w:rPr>
          <w:i/>
          <w:color w:val="4F81BD" w:themeColor="accent1"/>
        </w:rPr>
        <w:t>“Notes and Additional resources”</w:t>
      </w:r>
    </w:p>
    <w:p w14:paraId="56E1087A" w14:textId="77777777" w:rsidR="0064029B" w:rsidRPr="00106AAA" w:rsidRDefault="0064029B" w:rsidP="00A17244">
      <w:pPr>
        <w:ind w:left="180" w:hanging="180"/>
        <w:jc w:val="both"/>
      </w:pPr>
    </w:p>
    <w:p w14:paraId="120F0E22" w14:textId="3DDAFD06" w:rsidR="0064029B" w:rsidRPr="00106AAA" w:rsidRDefault="00316236" w:rsidP="00A17244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180" w:hanging="180"/>
        <w:jc w:val="both"/>
        <w:rPr>
          <w:b/>
          <w:sz w:val="24"/>
        </w:rPr>
      </w:pPr>
      <w:r>
        <w:rPr>
          <w:b/>
          <w:sz w:val="24"/>
        </w:rPr>
        <w:t xml:space="preserve">  </w:t>
      </w:r>
      <w:r w:rsidR="0064029B" w:rsidRPr="00106AAA">
        <w:rPr>
          <w:b/>
          <w:sz w:val="24"/>
        </w:rPr>
        <w:t>Antibodies</w:t>
      </w:r>
    </w:p>
    <w:p w14:paraId="32AB15B2" w14:textId="77777777" w:rsidR="00316236" w:rsidRPr="00316236" w:rsidRDefault="00316236" w:rsidP="00316236">
      <w:pPr>
        <w:pStyle w:val="ListParagraph"/>
        <w:numPr>
          <w:ilvl w:val="0"/>
          <w:numId w:val="7"/>
        </w:numPr>
        <w:spacing w:before="120"/>
        <w:ind w:left="0" w:firstLine="0"/>
        <w:contextualSpacing w:val="0"/>
        <w:jc w:val="both"/>
        <w:rPr>
          <w:b/>
        </w:rPr>
      </w:pPr>
      <w:r>
        <w:t xml:space="preserve"> </w:t>
      </w:r>
      <w:r w:rsidR="001F67EB" w:rsidRPr="00106AAA">
        <w:t>Some grantees provide references of published studies that have validated-vette</w:t>
      </w:r>
      <w:r>
        <w:t>d specific antibodies.</w:t>
      </w:r>
    </w:p>
    <w:p w14:paraId="71D9E4F6" w14:textId="2C7C8953" w:rsidR="001F67EB" w:rsidRPr="00316236" w:rsidRDefault="00316236" w:rsidP="00316236">
      <w:pPr>
        <w:spacing w:before="60"/>
        <w:ind w:left="360"/>
        <w:jc w:val="both"/>
        <w:rPr>
          <w:b/>
          <w:i/>
          <w:color w:val="4F81BD" w:themeColor="accent1"/>
        </w:rPr>
      </w:pPr>
      <w:r w:rsidRPr="00316236">
        <w:rPr>
          <w:i/>
          <w:color w:val="4F81BD" w:themeColor="accent1"/>
        </w:rPr>
        <w:t xml:space="preserve">[Note: Because </w:t>
      </w:r>
      <w:r w:rsidR="001F67EB" w:rsidRPr="00316236">
        <w:rPr>
          <w:i/>
          <w:color w:val="4F81BD" w:themeColor="accent1"/>
        </w:rPr>
        <w:t>this does not necessarily satisfy the issue of lot-to-lot variation</w:t>
      </w:r>
      <w:r w:rsidRPr="00316236">
        <w:rPr>
          <w:i/>
          <w:color w:val="4F81BD" w:themeColor="accent1"/>
        </w:rPr>
        <w:t xml:space="preserve"> from vendors,</w:t>
      </w:r>
      <w:r w:rsidR="001F67EB" w:rsidRPr="00316236">
        <w:rPr>
          <w:i/>
          <w:color w:val="4F81BD" w:themeColor="accent1"/>
        </w:rPr>
        <w:t xml:space="preserve"> it is only worthwhile referencing published studies if the lot number is the same between what will be used in the study and the published validation.</w:t>
      </w:r>
      <w:r w:rsidRPr="00316236">
        <w:rPr>
          <w:i/>
          <w:color w:val="4F81BD" w:themeColor="accent1"/>
        </w:rPr>
        <w:t>]</w:t>
      </w:r>
    </w:p>
    <w:p w14:paraId="669DF1B6" w14:textId="52320E6C" w:rsidR="0064029B" w:rsidRPr="00106AAA" w:rsidRDefault="00316236" w:rsidP="00316236">
      <w:pPr>
        <w:spacing w:before="60"/>
        <w:ind w:left="187" w:hanging="187"/>
        <w:jc w:val="both"/>
      </w:pPr>
      <w:r>
        <w:t xml:space="preserve">• </w:t>
      </w:r>
      <w:r w:rsidR="0064029B" w:rsidRPr="00106AAA">
        <w:t xml:space="preserve">list </w:t>
      </w:r>
      <w:r w:rsidR="0064029B" w:rsidRPr="00106AAA">
        <w:rPr>
          <w:u w:val="single"/>
        </w:rPr>
        <w:t xml:space="preserve">commercial </w:t>
      </w:r>
      <w:r w:rsidR="005C1EF7" w:rsidRPr="00106AAA">
        <w:rPr>
          <w:u w:val="single"/>
        </w:rPr>
        <w:t>sources</w:t>
      </w:r>
      <w:r w:rsidR="005C1EF7" w:rsidRPr="00106AAA">
        <w:t xml:space="preserve"> (some grantees provide catalog numbers</w:t>
      </w:r>
      <w:r w:rsidR="006F726C" w:rsidRPr="00106AAA">
        <w:t xml:space="preserve"> and lot numbers</w:t>
      </w:r>
      <w:r w:rsidR="005C1EF7" w:rsidRPr="00106AAA">
        <w:t>) or state whether in-house antibodies are generated.</w:t>
      </w:r>
    </w:p>
    <w:p w14:paraId="544EB845" w14:textId="3604B183" w:rsidR="005C1EF7" w:rsidRPr="00106AAA" w:rsidRDefault="00316236" w:rsidP="00A17244">
      <w:pPr>
        <w:ind w:left="180" w:hanging="180"/>
        <w:jc w:val="both"/>
      </w:pPr>
      <w:r>
        <w:t xml:space="preserve">• </w:t>
      </w:r>
      <w:r w:rsidR="005C1EF7" w:rsidRPr="00106AAA">
        <w:t xml:space="preserve">describe a rigorous standard for </w:t>
      </w:r>
      <w:r w:rsidR="005C1EF7" w:rsidRPr="00106AAA">
        <w:rPr>
          <w:u w:val="single"/>
        </w:rPr>
        <w:t>testing</w:t>
      </w:r>
      <w:r w:rsidR="005C1EF7" w:rsidRPr="00106AAA">
        <w:t xml:space="preserve"> antibody specificity, efficacy</w:t>
      </w:r>
    </w:p>
    <w:p w14:paraId="6B001125" w14:textId="3731CC82" w:rsidR="0064029B" w:rsidRPr="00106AAA" w:rsidRDefault="00984534" w:rsidP="00316236">
      <w:pPr>
        <w:spacing w:before="60"/>
        <w:ind w:left="360" w:hanging="7"/>
        <w:jc w:val="both"/>
        <w:rPr>
          <w:i/>
          <w:color w:val="4F81BD" w:themeColor="accent1"/>
        </w:rPr>
      </w:pPr>
      <w:r w:rsidRPr="00106AAA">
        <w:rPr>
          <w:i/>
          <w:color w:val="4F81BD" w:themeColor="accent1"/>
        </w:rPr>
        <w:tab/>
      </w:r>
      <w:r w:rsidR="00316236">
        <w:rPr>
          <w:i/>
          <w:color w:val="4F81BD" w:themeColor="accent1"/>
        </w:rPr>
        <w:t xml:space="preserve">[Note: </w:t>
      </w:r>
      <w:r w:rsidR="005C1EF7" w:rsidRPr="00106AAA">
        <w:rPr>
          <w:i/>
          <w:color w:val="4F81BD" w:themeColor="accent1"/>
        </w:rPr>
        <w:t>The most positively reviewed authentication plans for commercial antibodies did NOT rely solely on vendor certificates of authentication, but instead described one or more in-house validation tests.</w:t>
      </w:r>
      <w:r w:rsidR="00316236">
        <w:rPr>
          <w:i/>
          <w:color w:val="4F81BD" w:themeColor="accent1"/>
        </w:rPr>
        <w:t>]</w:t>
      </w:r>
    </w:p>
    <w:p w14:paraId="7C9EAFB9" w14:textId="67C68D72" w:rsidR="005C1EF7" w:rsidRPr="00106AAA" w:rsidRDefault="00984534" w:rsidP="00316236">
      <w:pPr>
        <w:spacing w:before="60"/>
        <w:ind w:left="547" w:hanging="187"/>
        <w:jc w:val="both"/>
      </w:pPr>
      <w:r w:rsidRPr="00106AAA">
        <w:t>-</w:t>
      </w:r>
      <w:r w:rsidR="005C1EF7" w:rsidRPr="00106AAA">
        <w:t xml:space="preserve"> </w:t>
      </w:r>
      <w:r w:rsidR="00DF1694" w:rsidRPr="00106AAA">
        <w:t>i</w:t>
      </w:r>
      <w:r w:rsidR="005C1EF7" w:rsidRPr="00106AAA">
        <w:t>mmunoblot analysis of cell extracts wi</w:t>
      </w:r>
      <w:r w:rsidR="00CF1F16" w:rsidRPr="00106AAA">
        <w:t>th target protein overexpressed</w:t>
      </w:r>
      <w:r w:rsidR="001F67EB" w:rsidRPr="00106AAA">
        <w:t xml:space="preserve"> </w:t>
      </w:r>
      <w:r w:rsidR="001F67EB" w:rsidRPr="00697267">
        <w:rPr>
          <w:i/>
          <w:color w:val="4F81BD" w:themeColor="accent1"/>
        </w:rPr>
        <w:t>(weaker control)</w:t>
      </w:r>
      <w:r w:rsidR="005C1EF7" w:rsidRPr="00106AAA">
        <w:t xml:space="preserve"> or knocked down</w:t>
      </w:r>
      <w:r w:rsidR="001F67EB" w:rsidRPr="00106AAA">
        <w:t xml:space="preserve"> </w:t>
      </w:r>
      <w:r w:rsidR="001F67EB" w:rsidRPr="00697267">
        <w:rPr>
          <w:i/>
          <w:color w:val="4F81BD" w:themeColor="accent1"/>
        </w:rPr>
        <w:t>(better control)</w:t>
      </w:r>
      <w:r w:rsidR="005C1EF7" w:rsidRPr="00106AAA">
        <w:t xml:space="preserve">. </w:t>
      </w:r>
      <w:r w:rsidR="00DF1694" w:rsidRPr="00106AAA">
        <w:t xml:space="preserve">For IHC </w:t>
      </w:r>
      <w:r w:rsidR="00CF1F16" w:rsidRPr="00106AAA">
        <w:t>validation</w:t>
      </w:r>
      <w:r w:rsidR="00DF1694" w:rsidRPr="00106AAA">
        <w:t>, these cell lines can be formalin-fixed/paraffin-embedded and serve as positive and negative controls.</w:t>
      </w:r>
    </w:p>
    <w:p w14:paraId="6EC85300" w14:textId="598EC818" w:rsidR="005C1EF7" w:rsidRPr="00106AAA" w:rsidRDefault="00984534" w:rsidP="00A17244">
      <w:pPr>
        <w:ind w:left="540" w:hanging="180"/>
        <w:jc w:val="both"/>
      </w:pPr>
      <w:r w:rsidRPr="00106AAA">
        <w:t>-</w:t>
      </w:r>
      <w:r w:rsidR="00DF1694" w:rsidRPr="00106AAA">
        <w:t xml:space="preserve"> i</w:t>
      </w:r>
      <w:r w:rsidR="005C1EF7" w:rsidRPr="00106AAA">
        <w:t>mmunoblot analysis of epitope-tagged target protein (with known shift in electrophoretic mobility).</w:t>
      </w:r>
    </w:p>
    <w:p w14:paraId="16251E83" w14:textId="6D330ADF" w:rsidR="005C1EF7" w:rsidRPr="00106AAA" w:rsidRDefault="00984534" w:rsidP="00A17244">
      <w:pPr>
        <w:ind w:left="540" w:hanging="180"/>
        <w:jc w:val="both"/>
      </w:pPr>
      <w:r w:rsidRPr="00106AAA">
        <w:t>-</w:t>
      </w:r>
      <w:r w:rsidR="00DF1694" w:rsidRPr="00106AAA">
        <w:t xml:space="preserve"> i</w:t>
      </w:r>
      <w:r w:rsidR="005C1EF7" w:rsidRPr="00106AAA">
        <w:t>mmunoblot analysis using more than one antibody from different sources</w:t>
      </w:r>
      <w:r w:rsidR="00982A79" w:rsidRPr="00106AAA">
        <w:t>.</w:t>
      </w:r>
    </w:p>
    <w:p w14:paraId="72D89D41" w14:textId="178D3365" w:rsidR="00DF1694" w:rsidRPr="00106AAA" w:rsidRDefault="00984534" w:rsidP="00A17244">
      <w:pPr>
        <w:ind w:left="540" w:hanging="180"/>
        <w:jc w:val="both"/>
      </w:pPr>
      <w:r w:rsidRPr="00106AAA">
        <w:t>-</w:t>
      </w:r>
      <w:r w:rsidR="00DF1694" w:rsidRPr="00106AAA">
        <w:t xml:space="preserve"> i</w:t>
      </w:r>
      <w:r w:rsidR="005C1EF7" w:rsidRPr="00106AAA">
        <w:t>mmunoblot ana</w:t>
      </w:r>
      <w:r w:rsidR="00DF1694" w:rsidRPr="00106AAA">
        <w:t>lysis using tissues from</w:t>
      </w:r>
      <w:r w:rsidR="00DB54D6" w:rsidRPr="00106AAA">
        <w:t xml:space="preserve"> </w:t>
      </w:r>
      <w:r w:rsidR="00DF1694" w:rsidRPr="00106AAA">
        <w:t>Knock-o</w:t>
      </w:r>
      <w:r w:rsidR="005C1EF7" w:rsidRPr="00106AAA">
        <w:t>ut animals</w:t>
      </w:r>
      <w:r w:rsidR="00982A79" w:rsidRPr="00106AAA">
        <w:t>.</w:t>
      </w:r>
    </w:p>
    <w:p w14:paraId="7B15B1FB" w14:textId="77777777" w:rsidR="00DF1694" w:rsidRPr="00106AAA" w:rsidRDefault="00DF1694" w:rsidP="00A17244">
      <w:pPr>
        <w:ind w:left="180" w:hanging="180"/>
        <w:jc w:val="both"/>
      </w:pPr>
    </w:p>
    <w:p w14:paraId="0A59F5A1" w14:textId="1529AF51" w:rsidR="00DF1694" w:rsidRPr="00106AAA" w:rsidRDefault="00316236" w:rsidP="00A17244">
      <w:pPr>
        <w:pStyle w:val="ListParagraph"/>
        <w:numPr>
          <w:ilvl w:val="0"/>
          <w:numId w:val="8"/>
        </w:numPr>
        <w:pBdr>
          <w:bottom w:val="single" w:sz="4" w:space="1" w:color="auto"/>
        </w:pBdr>
        <w:ind w:left="180" w:hanging="180"/>
        <w:jc w:val="both"/>
        <w:rPr>
          <w:b/>
          <w:sz w:val="24"/>
        </w:rPr>
      </w:pPr>
      <w:r>
        <w:rPr>
          <w:b/>
          <w:sz w:val="24"/>
        </w:rPr>
        <w:t xml:space="preserve">  </w:t>
      </w:r>
      <w:r w:rsidR="00DF1694" w:rsidRPr="00106AAA">
        <w:rPr>
          <w:b/>
          <w:sz w:val="24"/>
        </w:rPr>
        <w:t>Specialty Chemicals</w:t>
      </w:r>
    </w:p>
    <w:p w14:paraId="3830D650" w14:textId="33D25C95" w:rsidR="00DF1694" w:rsidRPr="00106AAA" w:rsidRDefault="00DF1694" w:rsidP="00B91B41">
      <w:pPr>
        <w:spacing w:before="120"/>
        <w:jc w:val="both"/>
      </w:pPr>
      <w:r w:rsidRPr="00106AAA">
        <w:t xml:space="preserve">•  </w:t>
      </w:r>
      <w:r w:rsidR="00984534" w:rsidRPr="00106AAA">
        <w:t xml:space="preserve">if </w:t>
      </w:r>
      <w:r w:rsidR="00CD32C0" w:rsidRPr="00106AAA">
        <w:t xml:space="preserve">chemical </w:t>
      </w:r>
      <w:r w:rsidRPr="00106AAA">
        <w:t>from commercial sources, list vendor</w:t>
      </w:r>
      <w:r w:rsidR="00964294" w:rsidRPr="00106AAA">
        <w:t xml:space="preserve"> </w:t>
      </w:r>
      <w:r w:rsidRPr="00106AAA">
        <w:t xml:space="preserve">and state </w:t>
      </w:r>
      <w:r w:rsidR="00964294" w:rsidRPr="00106AAA">
        <w:t>whether</w:t>
      </w:r>
      <w:r w:rsidR="00CD32C0" w:rsidRPr="00106AAA">
        <w:t xml:space="preserve"> </w:t>
      </w:r>
      <w:r w:rsidRPr="00106AAA">
        <w:t>QC authentication is provided</w:t>
      </w:r>
    </w:p>
    <w:p w14:paraId="449A9713" w14:textId="77777777" w:rsidR="00DF1694" w:rsidRPr="00106AAA" w:rsidRDefault="00DF1694" w:rsidP="00A17244">
      <w:pPr>
        <w:ind w:left="180" w:hanging="180"/>
        <w:jc w:val="both"/>
      </w:pPr>
      <w:r w:rsidRPr="00106AAA">
        <w:t>•  chemical can be validated by functional tests (describe the test briefly)</w:t>
      </w:r>
    </w:p>
    <w:p w14:paraId="1D22D9B2" w14:textId="77777777" w:rsidR="001F67EB" w:rsidRPr="00106AAA" w:rsidRDefault="00DF1694" w:rsidP="00A17244">
      <w:pPr>
        <w:ind w:left="180" w:hanging="180"/>
        <w:jc w:val="both"/>
      </w:pPr>
      <w:r w:rsidRPr="00106AAA">
        <w:t>•  chemical can be validated by mass spectrometry (describe the specific platform</w:t>
      </w:r>
      <w:r w:rsidR="001F67EB" w:rsidRPr="00106AAA">
        <w:t>)</w:t>
      </w:r>
    </w:p>
    <w:p w14:paraId="79A28FD6" w14:textId="37555183" w:rsidR="00DF1694" w:rsidRPr="00106AAA" w:rsidRDefault="001F67EB" w:rsidP="00316236">
      <w:pPr>
        <w:spacing w:before="60"/>
        <w:ind w:left="360"/>
        <w:jc w:val="both"/>
        <w:rPr>
          <w:i/>
          <w:color w:val="4F81BD" w:themeColor="accent1"/>
        </w:rPr>
      </w:pPr>
      <w:r w:rsidRPr="00106AAA">
        <w:rPr>
          <w:i/>
          <w:color w:val="4F81BD" w:themeColor="accent1"/>
        </w:rPr>
        <w:t>[Note: UC Irvine’s mass spec facility in Chemistry has an affordable $5 cost per sample]</w:t>
      </w:r>
    </w:p>
    <w:p w14:paraId="6C750012" w14:textId="6CA405B2" w:rsidR="00DF1694" w:rsidRPr="00106AAA" w:rsidRDefault="00137143" w:rsidP="00A17244">
      <w:pPr>
        <w:ind w:left="180" w:hanging="180"/>
        <w:jc w:val="both"/>
      </w:pPr>
      <w:r>
        <w:lastRenderedPageBreak/>
        <w:t xml:space="preserve">• </w:t>
      </w:r>
      <w:r w:rsidR="00DF1694" w:rsidRPr="00106AAA">
        <w:t xml:space="preserve">if synthesizing chemical in-house:  state </w:t>
      </w:r>
      <w:r w:rsidR="00964294" w:rsidRPr="00106AAA">
        <w:t>whether</w:t>
      </w:r>
      <w:r w:rsidR="00DF1694" w:rsidRPr="00106AAA">
        <w:t xml:space="preserve"> synthesis </w:t>
      </w:r>
      <w:r w:rsidR="00964294" w:rsidRPr="00106AAA">
        <w:t>uses</w:t>
      </w:r>
      <w:r w:rsidR="00DF1694" w:rsidRPr="00106AAA">
        <w:t xml:space="preserve"> commercially available precursors.  Intermediates and Final compounds purified by X method (e.g. crystallization? Chromatography?).  State test for validation of purity (e.g. LCMS, NMR – describe specific test)</w:t>
      </w:r>
    </w:p>
    <w:p w14:paraId="5F90B224" w14:textId="74F5C071" w:rsidR="00DF1694" w:rsidRPr="00106AAA" w:rsidRDefault="00DF1694" w:rsidP="00A17244">
      <w:pPr>
        <w:ind w:left="180" w:hanging="180"/>
        <w:jc w:val="both"/>
      </w:pPr>
      <w:r w:rsidRPr="00106AAA">
        <w:t>•  some grantees state that specialty chemical</w:t>
      </w:r>
      <w:r w:rsidR="0010299F" w:rsidRPr="00106AAA">
        <w:t>s</w:t>
      </w:r>
      <w:r w:rsidRPr="00106AAA">
        <w:t xml:space="preserve"> will be made available to the research community for additional validation and testing (refer reader to “Resource Sharing Plan”</w:t>
      </w:r>
      <w:r w:rsidR="0010299F" w:rsidRPr="00106AAA">
        <w:t xml:space="preserve"> where a similar statement should appear</w:t>
      </w:r>
      <w:r w:rsidRPr="00106AAA">
        <w:t>).</w:t>
      </w:r>
    </w:p>
    <w:p w14:paraId="4D0EF5CE" w14:textId="77777777" w:rsidR="001908FE" w:rsidRPr="00106AAA" w:rsidRDefault="001908FE" w:rsidP="00A17244">
      <w:pPr>
        <w:ind w:left="180" w:hanging="180"/>
        <w:jc w:val="both"/>
      </w:pPr>
    </w:p>
    <w:p w14:paraId="51F8BACC" w14:textId="1828B19E" w:rsidR="001908FE" w:rsidRPr="00106AAA" w:rsidRDefault="00316236" w:rsidP="00A17244">
      <w:pPr>
        <w:pStyle w:val="ListParagraph"/>
        <w:numPr>
          <w:ilvl w:val="0"/>
          <w:numId w:val="8"/>
        </w:numPr>
        <w:pBdr>
          <w:bottom w:val="single" w:sz="4" w:space="1" w:color="auto"/>
        </w:pBdr>
        <w:ind w:left="180" w:hanging="180"/>
        <w:jc w:val="both"/>
        <w:rPr>
          <w:b/>
          <w:sz w:val="24"/>
        </w:rPr>
      </w:pPr>
      <w:r>
        <w:rPr>
          <w:b/>
          <w:sz w:val="24"/>
        </w:rPr>
        <w:t xml:space="preserve">  </w:t>
      </w:r>
      <w:r w:rsidR="001908FE" w:rsidRPr="00106AAA">
        <w:rPr>
          <w:b/>
          <w:sz w:val="24"/>
        </w:rPr>
        <w:t>Purified Proteins</w:t>
      </w:r>
    </w:p>
    <w:p w14:paraId="4E231194" w14:textId="68A5D3A2" w:rsidR="001908FE" w:rsidRPr="00106AAA" w:rsidRDefault="001908FE" w:rsidP="00B91B41">
      <w:pPr>
        <w:spacing w:before="120"/>
        <w:jc w:val="both"/>
      </w:pPr>
      <w:r w:rsidRPr="00106AAA">
        <w:t xml:space="preserve">•  </w:t>
      </w:r>
      <w:r w:rsidR="0010299F" w:rsidRPr="00106AAA">
        <w:t>Western blot analysis, C</w:t>
      </w:r>
      <w:r w:rsidR="009F04FE" w:rsidRPr="00106AAA">
        <w:t>oomassie or silver stain SDS-PAGE analysis</w:t>
      </w:r>
    </w:p>
    <w:p w14:paraId="32664311" w14:textId="77777777" w:rsidR="009F04FE" w:rsidRPr="00106AAA" w:rsidRDefault="009F04FE" w:rsidP="00A17244">
      <w:pPr>
        <w:ind w:left="180" w:hanging="180"/>
        <w:jc w:val="both"/>
      </w:pPr>
      <w:r w:rsidRPr="00106AAA">
        <w:t>•  validation test for enzymatic activity</w:t>
      </w:r>
    </w:p>
    <w:p w14:paraId="1827B706" w14:textId="77777777" w:rsidR="009F04FE" w:rsidRPr="00106AAA" w:rsidRDefault="009F04FE" w:rsidP="00A17244">
      <w:pPr>
        <w:ind w:left="180" w:hanging="180"/>
        <w:jc w:val="both"/>
      </w:pPr>
      <w:r w:rsidRPr="00106AAA">
        <w:t>•  expression plasmid sequenced to confirm open reading frame</w:t>
      </w:r>
    </w:p>
    <w:p w14:paraId="46A51E79" w14:textId="77777777" w:rsidR="001908FE" w:rsidRPr="00106AAA" w:rsidRDefault="001908FE" w:rsidP="00A17244">
      <w:pPr>
        <w:ind w:left="180" w:hanging="180"/>
        <w:jc w:val="both"/>
      </w:pPr>
    </w:p>
    <w:p w14:paraId="478ED1C3" w14:textId="6C32C1CD" w:rsidR="001908FE" w:rsidRPr="00106AAA" w:rsidRDefault="00316236" w:rsidP="00A17244">
      <w:pPr>
        <w:pStyle w:val="ListParagraph"/>
        <w:numPr>
          <w:ilvl w:val="0"/>
          <w:numId w:val="8"/>
        </w:numPr>
        <w:pBdr>
          <w:bottom w:val="single" w:sz="4" w:space="1" w:color="auto"/>
        </w:pBdr>
        <w:ind w:left="180" w:hanging="180"/>
        <w:jc w:val="both"/>
        <w:rPr>
          <w:b/>
          <w:sz w:val="24"/>
        </w:rPr>
      </w:pPr>
      <w:r>
        <w:rPr>
          <w:b/>
          <w:sz w:val="24"/>
        </w:rPr>
        <w:t xml:space="preserve">  </w:t>
      </w:r>
      <w:r w:rsidR="001908FE" w:rsidRPr="00106AAA">
        <w:rPr>
          <w:b/>
          <w:sz w:val="24"/>
        </w:rPr>
        <w:t>Vertebrate Animals</w:t>
      </w:r>
    </w:p>
    <w:p w14:paraId="460EED72" w14:textId="7C1F9963" w:rsidR="001908FE" w:rsidRPr="00106AAA" w:rsidRDefault="001908FE" w:rsidP="00137143">
      <w:pPr>
        <w:spacing w:before="120"/>
        <w:ind w:left="360"/>
        <w:jc w:val="both"/>
        <w:rPr>
          <w:i/>
          <w:color w:val="4F81BD" w:themeColor="accent1"/>
        </w:rPr>
      </w:pPr>
      <w:r w:rsidRPr="00106AAA">
        <w:rPr>
          <w:i/>
          <w:color w:val="4F81BD" w:themeColor="accent1"/>
        </w:rPr>
        <w:t>[Note:  unlike antisera, the</w:t>
      </w:r>
      <w:r w:rsidR="008A2499" w:rsidRPr="00106AAA">
        <w:rPr>
          <w:i/>
          <w:color w:val="4F81BD" w:themeColor="accent1"/>
        </w:rPr>
        <w:t>re seems to be</w:t>
      </w:r>
      <w:r w:rsidRPr="00106AAA">
        <w:rPr>
          <w:i/>
          <w:color w:val="4F81BD" w:themeColor="accent1"/>
        </w:rPr>
        <w:t xml:space="preserve"> </w:t>
      </w:r>
      <w:r w:rsidR="009F04FE" w:rsidRPr="00106AAA">
        <w:rPr>
          <w:i/>
          <w:color w:val="4F81BD" w:themeColor="accent1"/>
        </w:rPr>
        <w:t>greater</w:t>
      </w:r>
      <w:r w:rsidRPr="00106AAA">
        <w:rPr>
          <w:i/>
          <w:color w:val="4F81BD" w:themeColor="accent1"/>
        </w:rPr>
        <w:t xml:space="preserve"> acceptance </w:t>
      </w:r>
      <w:r w:rsidR="009F04FE" w:rsidRPr="00106AAA">
        <w:rPr>
          <w:i/>
          <w:color w:val="4F81BD" w:themeColor="accent1"/>
        </w:rPr>
        <w:t>of</w:t>
      </w:r>
      <w:r w:rsidRPr="00106AAA">
        <w:rPr>
          <w:i/>
          <w:color w:val="4F81BD" w:themeColor="accent1"/>
        </w:rPr>
        <w:t xml:space="preserve"> authentication</w:t>
      </w:r>
      <w:r w:rsidR="009F04FE" w:rsidRPr="00106AAA">
        <w:rPr>
          <w:i/>
          <w:color w:val="4F81BD" w:themeColor="accent1"/>
        </w:rPr>
        <w:t xml:space="preserve"> certificates</w:t>
      </w:r>
      <w:r w:rsidRPr="00106AAA">
        <w:rPr>
          <w:i/>
          <w:color w:val="4F81BD" w:themeColor="accent1"/>
        </w:rPr>
        <w:t xml:space="preserve"> from vendors</w:t>
      </w:r>
      <w:r w:rsidR="008A2499" w:rsidRPr="00106AAA">
        <w:rPr>
          <w:i/>
          <w:color w:val="4F81BD" w:themeColor="accent1"/>
        </w:rPr>
        <w:t xml:space="preserve"> (at least currently</w:t>
      </w:r>
      <w:r w:rsidR="00137143">
        <w:rPr>
          <w:i/>
          <w:color w:val="4F81BD" w:themeColor="accent1"/>
        </w:rPr>
        <w:t>)</w:t>
      </w:r>
      <w:r w:rsidRPr="00106AAA">
        <w:rPr>
          <w:i/>
          <w:color w:val="4F81BD" w:themeColor="accent1"/>
        </w:rPr>
        <w:t>]</w:t>
      </w:r>
    </w:p>
    <w:p w14:paraId="45B7F931" w14:textId="29F7DD1F" w:rsidR="001908FE" w:rsidRPr="00106AAA" w:rsidRDefault="001908FE" w:rsidP="00B91B41">
      <w:pPr>
        <w:spacing w:before="120"/>
        <w:jc w:val="both"/>
      </w:pPr>
      <w:r w:rsidRPr="00106AAA">
        <w:t xml:space="preserve">•  state </w:t>
      </w:r>
      <w:r w:rsidRPr="00106AAA">
        <w:rPr>
          <w:u w:val="single"/>
        </w:rPr>
        <w:t>commercial source</w:t>
      </w:r>
      <w:r w:rsidRPr="00106AAA">
        <w:t xml:space="preserve"> of animals if purchasing</w:t>
      </w:r>
      <w:r w:rsidR="00DB54D6" w:rsidRPr="00106AAA">
        <w:t>.</w:t>
      </w:r>
      <w:r w:rsidRPr="00106AAA">
        <w:t xml:space="preserve"> </w:t>
      </w:r>
    </w:p>
    <w:p w14:paraId="3DDFB148" w14:textId="24EAC5DB" w:rsidR="001908FE" w:rsidRPr="00106AAA" w:rsidRDefault="001908FE" w:rsidP="00A17244">
      <w:pPr>
        <w:ind w:left="180" w:hanging="180"/>
        <w:jc w:val="both"/>
      </w:pPr>
      <w:r w:rsidRPr="00106AAA">
        <w:t xml:space="preserve">•  state if/how animals are </w:t>
      </w:r>
      <w:r w:rsidRPr="00106AAA">
        <w:rPr>
          <w:u w:val="single"/>
        </w:rPr>
        <w:t>genotyped</w:t>
      </w:r>
      <w:r w:rsidRPr="00106AAA">
        <w:t xml:space="preserve"> and the </w:t>
      </w:r>
      <w:r w:rsidR="0010299F" w:rsidRPr="00106AAA">
        <w:t xml:space="preserve">general </w:t>
      </w:r>
      <w:r w:rsidRPr="00106AAA">
        <w:t>method</w:t>
      </w:r>
      <w:r w:rsidR="0010299F" w:rsidRPr="00106AAA">
        <w:t xml:space="preserve"> (e.g. genomic DNA from tail tissue)</w:t>
      </w:r>
      <w:r w:rsidR="00DB54D6" w:rsidRPr="00106AAA">
        <w:t>.</w:t>
      </w:r>
      <w:r w:rsidRPr="00106AAA">
        <w:t xml:space="preserve"> </w:t>
      </w:r>
    </w:p>
    <w:p w14:paraId="49A0E0E3" w14:textId="090C7292" w:rsidR="001908FE" w:rsidRPr="00106AAA" w:rsidRDefault="001908FE" w:rsidP="00A17244">
      <w:pPr>
        <w:ind w:left="180" w:hanging="180"/>
        <w:jc w:val="both"/>
      </w:pPr>
      <w:r w:rsidRPr="00106AAA">
        <w:t xml:space="preserve">•  for animals with a </w:t>
      </w:r>
      <w:r w:rsidRPr="00106AAA">
        <w:rPr>
          <w:u w:val="single"/>
        </w:rPr>
        <w:t>mixed genetic background</w:t>
      </w:r>
      <w:r w:rsidRPr="00106AAA">
        <w:t>, littermates are used to compare genotypes</w:t>
      </w:r>
      <w:r w:rsidR="00DB54D6" w:rsidRPr="00106AAA">
        <w:t>.</w:t>
      </w:r>
    </w:p>
    <w:p w14:paraId="5BE5C56C" w14:textId="02909FA0" w:rsidR="00C43CFA" w:rsidRPr="00106AAA" w:rsidRDefault="00C43CFA" w:rsidP="00A17244">
      <w:pPr>
        <w:pStyle w:val="ListParagraph"/>
        <w:numPr>
          <w:ilvl w:val="0"/>
          <w:numId w:val="5"/>
        </w:numPr>
        <w:ind w:left="180" w:hanging="180"/>
        <w:jc w:val="both"/>
      </w:pPr>
      <w:r w:rsidRPr="00106AAA">
        <w:t>If appropriate, state use of SNP analysis to validate strain background of mice.</w:t>
      </w:r>
    </w:p>
    <w:p w14:paraId="701AA19C" w14:textId="6EAC7EE4" w:rsidR="00DB54D6" w:rsidRPr="00106AAA" w:rsidRDefault="00C43CFA" w:rsidP="00A17244">
      <w:pPr>
        <w:pStyle w:val="ListParagraph"/>
        <w:numPr>
          <w:ilvl w:val="0"/>
          <w:numId w:val="5"/>
        </w:numPr>
        <w:ind w:left="180" w:hanging="180"/>
        <w:jc w:val="both"/>
      </w:pPr>
      <w:r w:rsidRPr="00106AAA">
        <w:t xml:space="preserve">If appropriate, state use of published PCR assay to discriminate whether </w:t>
      </w:r>
      <w:r w:rsidR="00DB54D6" w:rsidRPr="00106AAA">
        <w:t>C57BL/6</w:t>
      </w:r>
      <w:r w:rsidRPr="00106AAA">
        <w:t xml:space="preserve"> mice have </w:t>
      </w:r>
      <w:proofErr w:type="spellStart"/>
      <w:r w:rsidRPr="00106AAA">
        <w:rPr>
          <w:i/>
        </w:rPr>
        <w:t>Nnt</w:t>
      </w:r>
      <w:proofErr w:type="spellEnd"/>
      <w:r w:rsidRPr="00106AAA">
        <w:t xml:space="preserve"> mutation from C57BL/6J, which can have significant effect on mutant phenotypes.</w:t>
      </w:r>
      <w:r w:rsidR="009C24CB" w:rsidRPr="00106AAA">
        <w:t xml:space="preserve"> Also applies to use of hybrid / outbred mice if C57BL/6 strain </w:t>
      </w:r>
      <w:r w:rsidR="001F67EB" w:rsidRPr="00106AAA">
        <w:t xml:space="preserve">is </w:t>
      </w:r>
      <w:r w:rsidR="009C24CB" w:rsidRPr="00106AAA">
        <w:t>in the lineage.</w:t>
      </w:r>
    </w:p>
    <w:p w14:paraId="3BE0341D" w14:textId="3CA1C779" w:rsidR="001908FE" w:rsidRPr="00106AAA" w:rsidRDefault="001908FE" w:rsidP="00A17244">
      <w:pPr>
        <w:ind w:left="180" w:hanging="180"/>
        <w:jc w:val="both"/>
      </w:pPr>
      <w:r w:rsidRPr="00106AAA">
        <w:t xml:space="preserve">•  </w:t>
      </w:r>
      <w:r w:rsidRPr="00106AAA">
        <w:rPr>
          <w:u w:val="single"/>
        </w:rPr>
        <w:t>Xenograft</w:t>
      </w:r>
      <w:r w:rsidRPr="00106AAA">
        <w:t xml:space="preserve"> studies:  state commercial </w:t>
      </w:r>
      <w:r w:rsidR="0010299F" w:rsidRPr="00106AAA">
        <w:t xml:space="preserve">type and </w:t>
      </w:r>
      <w:r w:rsidRPr="00106AAA">
        <w:t>source of immunocompromised mice if purchasing</w:t>
      </w:r>
    </w:p>
    <w:p w14:paraId="233C1999" w14:textId="550C2308" w:rsidR="001908FE" w:rsidRPr="00106AAA" w:rsidRDefault="001908FE" w:rsidP="00A17244">
      <w:pPr>
        <w:ind w:left="180" w:hanging="180"/>
        <w:jc w:val="both"/>
      </w:pPr>
      <w:r w:rsidRPr="00106AAA">
        <w:t xml:space="preserve">•  </w:t>
      </w:r>
      <w:r w:rsidRPr="00106AAA">
        <w:rPr>
          <w:u w:val="single"/>
        </w:rPr>
        <w:t>PDX</w:t>
      </w:r>
      <w:r w:rsidRPr="00106AAA">
        <w:t xml:space="preserve"> studies:  SNP analysis can compare PDX tumors to original patient sample if such data is available.  State frequency (e.g. X passages)</w:t>
      </w:r>
      <w:r w:rsidR="00DB54D6" w:rsidRPr="00106AAA">
        <w:t>.</w:t>
      </w:r>
    </w:p>
    <w:p w14:paraId="130F8273" w14:textId="6A8CF333" w:rsidR="00DB54D6" w:rsidRPr="00106AAA" w:rsidRDefault="00DB54D6" w:rsidP="00A17244">
      <w:pPr>
        <w:pStyle w:val="ListParagraph"/>
        <w:numPr>
          <w:ilvl w:val="0"/>
          <w:numId w:val="6"/>
        </w:numPr>
        <w:ind w:left="180" w:hanging="180"/>
        <w:jc w:val="both"/>
      </w:pPr>
      <w:r w:rsidRPr="00106AAA">
        <w:t>If mice are being generated from in</w:t>
      </w:r>
      <w:r w:rsidR="001F67EB" w:rsidRPr="00106AAA">
        <w:t>-</w:t>
      </w:r>
      <w:r w:rsidRPr="00106AAA">
        <w:t>house breeding studies, state methods used to test for pathogens and frequency of testing.</w:t>
      </w:r>
    </w:p>
    <w:p w14:paraId="73FAC78B" w14:textId="77777777" w:rsidR="009F04FE" w:rsidRPr="00106AAA" w:rsidRDefault="009F04FE" w:rsidP="00A17244">
      <w:pPr>
        <w:ind w:left="180" w:hanging="180"/>
        <w:jc w:val="both"/>
      </w:pPr>
    </w:p>
    <w:p w14:paraId="76C62431" w14:textId="7241D9A5" w:rsidR="009F04FE" w:rsidRPr="00106AAA" w:rsidRDefault="00316236" w:rsidP="00A17244">
      <w:pPr>
        <w:pStyle w:val="ListParagraph"/>
        <w:numPr>
          <w:ilvl w:val="0"/>
          <w:numId w:val="8"/>
        </w:numPr>
        <w:pBdr>
          <w:bottom w:val="single" w:sz="4" w:space="1" w:color="auto"/>
        </w:pBdr>
        <w:ind w:left="180" w:hanging="180"/>
        <w:jc w:val="both"/>
        <w:rPr>
          <w:b/>
          <w:sz w:val="24"/>
        </w:rPr>
      </w:pPr>
      <w:r>
        <w:rPr>
          <w:b/>
          <w:sz w:val="24"/>
        </w:rPr>
        <w:t xml:space="preserve">  </w:t>
      </w:r>
      <w:r w:rsidR="009F04FE" w:rsidRPr="00106AAA">
        <w:rPr>
          <w:b/>
          <w:sz w:val="24"/>
        </w:rPr>
        <w:t>Plasmids</w:t>
      </w:r>
    </w:p>
    <w:p w14:paraId="2A676004" w14:textId="77777777" w:rsidR="009F04FE" w:rsidRPr="00106AAA" w:rsidRDefault="009F04FE" w:rsidP="00B91B41">
      <w:pPr>
        <w:spacing w:before="120"/>
        <w:jc w:val="both"/>
      </w:pPr>
      <w:r w:rsidRPr="00106AAA">
        <w:t>•  state source of plasmid (commercial sources with sequencing validation)</w:t>
      </w:r>
    </w:p>
    <w:p w14:paraId="5ADB48CD" w14:textId="77777777" w:rsidR="009F04FE" w:rsidRPr="00106AAA" w:rsidRDefault="009F04FE" w:rsidP="00A17244">
      <w:pPr>
        <w:ind w:left="180" w:hanging="180"/>
        <w:jc w:val="both"/>
      </w:pPr>
      <w:r w:rsidRPr="00106AAA">
        <w:t>•  list vendor used for sequence validation of custom plasmids</w:t>
      </w:r>
    </w:p>
    <w:p w14:paraId="2984C806" w14:textId="77777777" w:rsidR="009F04FE" w:rsidRPr="00106AAA" w:rsidRDefault="009F04FE" w:rsidP="00A17244">
      <w:pPr>
        <w:ind w:left="180" w:hanging="180"/>
        <w:jc w:val="both"/>
      </w:pPr>
    </w:p>
    <w:p w14:paraId="65FA6911" w14:textId="634778AA" w:rsidR="009F04FE" w:rsidRPr="00106AAA" w:rsidRDefault="00316236" w:rsidP="00A17244">
      <w:pPr>
        <w:pStyle w:val="ListParagraph"/>
        <w:numPr>
          <w:ilvl w:val="0"/>
          <w:numId w:val="8"/>
        </w:numPr>
        <w:pBdr>
          <w:bottom w:val="single" w:sz="4" w:space="1" w:color="auto"/>
        </w:pBdr>
        <w:ind w:left="180" w:hanging="180"/>
        <w:jc w:val="both"/>
        <w:rPr>
          <w:sz w:val="24"/>
        </w:rPr>
      </w:pPr>
      <w:r>
        <w:rPr>
          <w:b/>
          <w:sz w:val="24"/>
        </w:rPr>
        <w:t xml:space="preserve">  </w:t>
      </w:r>
      <w:r w:rsidR="009F04FE" w:rsidRPr="00106AAA">
        <w:rPr>
          <w:b/>
          <w:sz w:val="24"/>
        </w:rPr>
        <w:t>Nucleic acids</w:t>
      </w:r>
      <w:r w:rsidR="009F04FE" w:rsidRPr="00106AAA">
        <w:rPr>
          <w:sz w:val="24"/>
        </w:rPr>
        <w:t xml:space="preserve"> (e.g. siRNA, shRNA, gRNA, etc.)</w:t>
      </w:r>
    </w:p>
    <w:p w14:paraId="529D97AD" w14:textId="0258E719" w:rsidR="009F04FE" w:rsidRPr="00106AAA" w:rsidRDefault="009F04FE" w:rsidP="00B91B41">
      <w:pPr>
        <w:spacing w:before="120"/>
        <w:jc w:val="both"/>
      </w:pPr>
      <w:r w:rsidRPr="00106AAA">
        <w:t xml:space="preserve">•  list </w:t>
      </w:r>
      <w:r w:rsidRPr="00106AAA">
        <w:rPr>
          <w:u w:val="single"/>
        </w:rPr>
        <w:t>vendor</w:t>
      </w:r>
      <w:r w:rsidRPr="00106AAA">
        <w:t xml:space="preserve"> </w:t>
      </w:r>
    </w:p>
    <w:p w14:paraId="02D0B446" w14:textId="77777777" w:rsidR="009F04FE" w:rsidRPr="00106AAA" w:rsidRDefault="009F04FE" w:rsidP="00A17244">
      <w:pPr>
        <w:ind w:left="180" w:hanging="180"/>
        <w:jc w:val="both"/>
      </w:pPr>
      <w:r w:rsidRPr="00106AAA">
        <w:t xml:space="preserve">•  for siRNA/shRNA knockdown, use </w:t>
      </w:r>
      <w:r w:rsidRPr="00106AAA">
        <w:rPr>
          <w:u w:val="single"/>
        </w:rPr>
        <w:t>multiple RNAs</w:t>
      </w:r>
      <w:r w:rsidRPr="00106AAA">
        <w:t xml:space="preserve"> for each target gene</w:t>
      </w:r>
    </w:p>
    <w:p w14:paraId="1BA08E8A" w14:textId="2222B536" w:rsidR="009F04FE" w:rsidRPr="00106AAA" w:rsidRDefault="009F04FE" w:rsidP="00A17244">
      <w:pPr>
        <w:ind w:left="180" w:hanging="180"/>
        <w:jc w:val="both"/>
      </w:pPr>
      <w:r w:rsidRPr="00106AAA">
        <w:t xml:space="preserve">• </w:t>
      </w:r>
      <w:r w:rsidR="00021C23" w:rsidRPr="00106AAA">
        <w:t xml:space="preserve"> </w:t>
      </w:r>
      <w:r w:rsidRPr="00106AAA">
        <w:t>negative controls</w:t>
      </w:r>
    </w:p>
    <w:p w14:paraId="798904F2" w14:textId="34548924" w:rsidR="009F04FE" w:rsidRPr="00106AAA" w:rsidRDefault="009F04FE" w:rsidP="00A17244">
      <w:pPr>
        <w:ind w:left="180" w:hanging="180"/>
        <w:jc w:val="both"/>
      </w:pPr>
      <w:r w:rsidRPr="00106AAA">
        <w:t xml:space="preserve">•  </w:t>
      </w:r>
      <w:r w:rsidR="00021C23" w:rsidRPr="00106AAA">
        <w:t>validation tests (e.g. immunoblot, RT-PCR, etc.)</w:t>
      </w:r>
    </w:p>
    <w:p w14:paraId="310FBEDA" w14:textId="77777777" w:rsidR="00F92433" w:rsidRPr="00106AAA" w:rsidRDefault="00F92433" w:rsidP="001F67EB">
      <w:pPr>
        <w:ind w:left="360"/>
        <w:jc w:val="both"/>
      </w:pPr>
    </w:p>
    <w:p w14:paraId="226DB027" w14:textId="281CF071" w:rsidR="00F92433" w:rsidRPr="00137143" w:rsidRDefault="00F92433" w:rsidP="00A17244">
      <w:pPr>
        <w:jc w:val="both"/>
        <w:rPr>
          <w:b/>
          <w:i/>
          <w:color w:val="4F81BD" w:themeColor="accent1"/>
          <w:sz w:val="24"/>
        </w:rPr>
      </w:pPr>
      <w:r w:rsidRPr="00137143">
        <w:rPr>
          <w:b/>
          <w:i/>
          <w:color w:val="4F81BD" w:themeColor="accent1"/>
          <w:sz w:val="24"/>
        </w:rPr>
        <w:t>“Notes and Additional resources”</w:t>
      </w:r>
    </w:p>
    <w:p w14:paraId="4B30B4F5" w14:textId="77777777" w:rsidR="00106AAA" w:rsidRPr="00106AAA" w:rsidRDefault="00106AAA" w:rsidP="00A17244">
      <w:pPr>
        <w:jc w:val="both"/>
        <w:rPr>
          <w:i/>
          <w:color w:val="4F81BD" w:themeColor="accent1"/>
        </w:rPr>
      </w:pPr>
    </w:p>
    <w:p w14:paraId="0567F10C" w14:textId="36D95585" w:rsidR="00F92433" w:rsidRPr="00106AAA" w:rsidRDefault="0040792E" w:rsidP="001F67EB">
      <w:pPr>
        <w:pStyle w:val="ListParagraph"/>
        <w:numPr>
          <w:ilvl w:val="0"/>
          <w:numId w:val="4"/>
        </w:numPr>
        <w:jc w:val="both"/>
      </w:pPr>
      <w:r w:rsidRPr="00106AAA">
        <w:t xml:space="preserve"> </w:t>
      </w:r>
      <w:r w:rsidR="00F92433" w:rsidRPr="00106AAA">
        <w:t xml:space="preserve">NIH Information about Authentication on “Extramural Nexus” website:  </w:t>
      </w:r>
      <w:hyperlink r:id="rId5" w:history="1">
        <w:r w:rsidR="00F92433" w:rsidRPr="00106AAA">
          <w:rPr>
            <w:rStyle w:val="Hyperlink"/>
          </w:rPr>
          <w:t>https://goo.gl/xRK7X4</w:t>
        </w:r>
      </w:hyperlink>
    </w:p>
    <w:p w14:paraId="7EF33F0A" w14:textId="77777777" w:rsidR="000300EC" w:rsidRPr="00106AAA" w:rsidRDefault="000300EC" w:rsidP="001F67EB">
      <w:pPr>
        <w:ind w:left="360"/>
        <w:jc w:val="both"/>
      </w:pPr>
    </w:p>
    <w:p w14:paraId="27A9D9A8" w14:textId="4EF3A75E" w:rsidR="00F92433" w:rsidRPr="00106AAA" w:rsidRDefault="0040792E" w:rsidP="001F67EB">
      <w:pPr>
        <w:pStyle w:val="ListParagraph"/>
        <w:numPr>
          <w:ilvl w:val="0"/>
          <w:numId w:val="4"/>
        </w:numPr>
        <w:jc w:val="both"/>
      </w:pPr>
      <w:r w:rsidRPr="00106AAA">
        <w:t xml:space="preserve"> </w:t>
      </w:r>
      <w:r w:rsidR="00F92433" w:rsidRPr="00106AAA">
        <w:t>STR profiling</w:t>
      </w:r>
      <w:r w:rsidR="00092E1E" w:rsidRPr="00106AAA">
        <w:t>, a partial list</w:t>
      </w:r>
      <w:r w:rsidR="00F92433" w:rsidRPr="00106AAA">
        <w:t xml:space="preserve">:  </w:t>
      </w:r>
    </w:p>
    <w:p w14:paraId="75D0D8BE" w14:textId="48310373" w:rsidR="00092E1E" w:rsidRPr="00106AAA" w:rsidRDefault="00F92433" w:rsidP="001F67EB">
      <w:pPr>
        <w:ind w:left="360"/>
        <w:jc w:val="both"/>
      </w:pPr>
      <w:r w:rsidRPr="00106AAA">
        <w:tab/>
      </w:r>
      <w:r w:rsidR="00092E1E" w:rsidRPr="00106AAA">
        <w:t xml:space="preserve">•  </w:t>
      </w:r>
      <w:r w:rsidRPr="00106AAA">
        <w:t xml:space="preserve">University of Arizona (STR profiling):  </w:t>
      </w:r>
      <w:hyperlink r:id="rId6" w:history="1">
        <w:r w:rsidR="00092E1E" w:rsidRPr="00106AAA">
          <w:rPr>
            <w:rStyle w:val="Hyperlink"/>
          </w:rPr>
          <w:t>http://goo.gl/oy2g5B</w:t>
        </w:r>
      </w:hyperlink>
    </w:p>
    <w:p w14:paraId="650B8130" w14:textId="1B5E33E3" w:rsidR="00F92433" w:rsidRPr="00106AAA" w:rsidRDefault="00F92433" w:rsidP="001F67EB">
      <w:pPr>
        <w:ind w:left="360"/>
        <w:jc w:val="both"/>
      </w:pPr>
      <w:r w:rsidRPr="00106AAA">
        <w:tab/>
      </w:r>
      <w:r w:rsidR="00092E1E" w:rsidRPr="00106AAA">
        <w:t xml:space="preserve">•  </w:t>
      </w:r>
      <w:proofErr w:type="spellStart"/>
      <w:r w:rsidRPr="00106AAA">
        <w:t>Genetica</w:t>
      </w:r>
      <w:proofErr w:type="spellEnd"/>
      <w:r w:rsidRPr="00106AAA">
        <w:t xml:space="preserve"> (STR profiling, AND mycoplasma testing):  </w:t>
      </w:r>
      <w:hyperlink r:id="rId7" w:history="1">
        <w:r w:rsidRPr="00106AAA">
          <w:rPr>
            <w:rStyle w:val="Hyperlink"/>
          </w:rPr>
          <w:t>http://www.celllineauthentication.com/</w:t>
        </w:r>
      </w:hyperlink>
    </w:p>
    <w:p w14:paraId="74D01A57" w14:textId="7E222B85" w:rsidR="00092E1E" w:rsidRPr="00106AAA" w:rsidRDefault="00092E1E" w:rsidP="001F67EB">
      <w:pPr>
        <w:ind w:left="360"/>
        <w:jc w:val="both"/>
        <w:rPr>
          <w:rStyle w:val="Hyperlink"/>
        </w:rPr>
      </w:pPr>
      <w:r w:rsidRPr="00106AAA">
        <w:tab/>
        <w:t xml:space="preserve">•  ATCC (STR profiling, database, FAQs): </w:t>
      </w:r>
      <w:hyperlink r:id="rId8" w:history="1">
        <w:r w:rsidRPr="00106AAA">
          <w:rPr>
            <w:rStyle w:val="Hyperlink"/>
          </w:rPr>
          <w:t>http://goo.gl/OcVK48</w:t>
        </w:r>
      </w:hyperlink>
    </w:p>
    <w:p w14:paraId="7940D5E6" w14:textId="77777777" w:rsidR="00A17244" w:rsidRPr="00106AAA" w:rsidRDefault="00A17244" w:rsidP="001F67EB">
      <w:pPr>
        <w:ind w:left="360"/>
        <w:jc w:val="both"/>
      </w:pPr>
    </w:p>
    <w:p w14:paraId="54E690E1" w14:textId="7FEC9A41" w:rsidR="001764F2" w:rsidRPr="00106AAA" w:rsidRDefault="00092E1E" w:rsidP="00137143">
      <w:pPr>
        <w:ind w:left="270"/>
        <w:jc w:val="both"/>
        <w:rPr>
          <w:i/>
          <w:color w:val="4F81BD" w:themeColor="accent1"/>
        </w:rPr>
      </w:pPr>
      <w:r w:rsidRPr="00106AAA">
        <w:rPr>
          <w:i/>
          <w:color w:val="4F81BD" w:themeColor="accent1"/>
        </w:rPr>
        <w:t>[Note:  The Waterman laboratory has used the University of Arizona service to STR profile a library of cell lines.  Current cost is ~$40/cell line, data sent within one week, responsive technical service staff]</w:t>
      </w:r>
      <w:r w:rsidRPr="00106AAA">
        <w:rPr>
          <w:i/>
          <w:color w:val="4F81BD" w:themeColor="accent1"/>
        </w:rPr>
        <w:tab/>
      </w:r>
    </w:p>
    <w:sectPr w:rsidR="001764F2" w:rsidRPr="00106AAA" w:rsidSect="00106A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1815"/>
    <w:multiLevelType w:val="hybridMultilevel"/>
    <w:tmpl w:val="EA382266"/>
    <w:lvl w:ilvl="0" w:tplc="2AF6A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5CAF"/>
    <w:multiLevelType w:val="hybridMultilevel"/>
    <w:tmpl w:val="47C0FA86"/>
    <w:lvl w:ilvl="0" w:tplc="DE90C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F2E92"/>
    <w:multiLevelType w:val="hybridMultilevel"/>
    <w:tmpl w:val="9028F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3140B7"/>
    <w:multiLevelType w:val="hybridMultilevel"/>
    <w:tmpl w:val="E470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06096"/>
    <w:multiLevelType w:val="hybridMultilevel"/>
    <w:tmpl w:val="AB22A812"/>
    <w:lvl w:ilvl="0" w:tplc="2C7E26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2566A"/>
    <w:multiLevelType w:val="hybridMultilevel"/>
    <w:tmpl w:val="5C1654D4"/>
    <w:lvl w:ilvl="0" w:tplc="B80AE3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155A"/>
    <w:multiLevelType w:val="hybridMultilevel"/>
    <w:tmpl w:val="94D08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A35FE7"/>
    <w:multiLevelType w:val="hybridMultilevel"/>
    <w:tmpl w:val="3ABCBDF8"/>
    <w:lvl w:ilvl="0" w:tplc="D1FAE59C">
      <w:start w:val="2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14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4F2"/>
    <w:rsid w:val="00021C23"/>
    <w:rsid w:val="000300EC"/>
    <w:rsid w:val="00091F2C"/>
    <w:rsid w:val="00092E1E"/>
    <w:rsid w:val="0010299F"/>
    <w:rsid w:val="00106AAA"/>
    <w:rsid w:val="00137143"/>
    <w:rsid w:val="001764F2"/>
    <w:rsid w:val="001908FE"/>
    <w:rsid w:val="001F67EB"/>
    <w:rsid w:val="002D4D0A"/>
    <w:rsid w:val="00316236"/>
    <w:rsid w:val="00343D71"/>
    <w:rsid w:val="003E1691"/>
    <w:rsid w:val="0040792E"/>
    <w:rsid w:val="00466755"/>
    <w:rsid w:val="00467D83"/>
    <w:rsid w:val="005B3542"/>
    <w:rsid w:val="005C1EF7"/>
    <w:rsid w:val="005E44C8"/>
    <w:rsid w:val="0064029B"/>
    <w:rsid w:val="00697267"/>
    <w:rsid w:val="006F726C"/>
    <w:rsid w:val="007511E2"/>
    <w:rsid w:val="007C33A5"/>
    <w:rsid w:val="008A0AEC"/>
    <w:rsid w:val="008A2499"/>
    <w:rsid w:val="00964294"/>
    <w:rsid w:val="00982A79"/>
    <w:rsid w:val="00984534"/>
    <w:rsid w:val="009C24CB"/>
    <w:rsid w:val="009F04FE"/>
    <w:rsid w:val="00A17244"/>
    <w:rsid w:val="00AF750C"/>
    <w:rsid w:val="00B91B41"/>
    <w:rsid w:val="00BE4568"/>
    <w:rsid w:val="00C43CFA"/>
    <w:rsid w:val="00CD32C0"/>
    <w:rsid w:val="00CF1F16"/>
    <w:rsid w:val="00D079F8"/>
    <w:rsid w:val="00DB54D6"/>
    <w:rsid w:val="00DF1694"/>
    <w:rsid w:val="00F3439C"/>
    <w:rsid w:val="00F9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1EA59F"/>
  <w14:defaultImageDpi w14:val="300"/>
  <w15:docId w15:val="{CEB8C0A1-467E-42B1-B64A-4309A6B1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4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8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2A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A7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A79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A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A79"/>
    <w:rPr>
      <w:rFonts w:eastAsia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A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79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F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OcVK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lllineauthentica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oy2g5B" TargetMode="External"/><Relationship Id="rId5" Type="http://schemas.openxmlformats.org/officeDocument/2006/relationships/hyperlink" Target="https://goo.gl/xRK7X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Waterman User</dc:creator>
  <cp:keywords/>
  <dc:description/>
  <cp:lastModifiedBy>Microsoft Office User</cp:lastModifiedBy>
  <cp:revision>2</cp:revision>
  <dcterms:created xsi:type="dcterms:W3CDTF">2018-09-07T22:55:00Z</dcterms:created>
  <dcterms:modified xsi:type="dcterms:W3CDTF">2018-09-07T22:55:00Z</dcterms:modified>
</cp:coreProperties>
</file>